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20.12.2019, оставленным без изменения постановлением Двадцать первого арбитражного апелляционного суда от 17.06.2020, в удовлетворении иска отказано. Арбитражный суд Центрального округа постановлением от 01.12.2020 решение от 20.12.2019 и постановление Двадцать первого арбитражного апелляционного суда от 17.06.2020 оставил без изменения. В кассационной жалобе АО «СОГАЗ» просит об отмене судебных актов, ссылаясь на отсутствие надлежащей оценки доказательств объема и стоимости восстановительного ремонта.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силу статей 15 , 1064 Гражданского кодекса Российской Федерации доказанность размера убытков является одним из условий возмещения вреда и в отсутствие таковой суды правомерно отказали в иске.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«Страхового общества газовой промышленности»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"СТРАХОВОЕ ОБЩЕСТВО ГАЗОВОЙ ПРОМЫШЛЕННОСТИ" (подробнее) Ответчики: ООО "ТИС-КРЫМ" (подробнее) Иные лица: ООО "Амиком" (подробнее) ООО "Антельфтерминал" (подробнее) ООО Регион Транспорт Групп (подробнее) Федеральное агентство железнодорожного транспорта (подробнее) Южное УГЖДН Ространснадзора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