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28.05.2020, оставленным без изменения постановлением Первого арбитражного апелляционного суда от 06.08.2020, взыскано 77 400 рублей компенсационной выплаты, 7 100 рублей расходов на оценку, 282 рубля 07 копеек расходов на направление заявления о компенсационной выплате, 500 рублей расходов на юридические услуги и 316 рублей 99 копеек почтовых расходов. Арбитражный суд Волго-Вятского округа постановлением от 14.12.2020 решение от 28.05.2020 и постановление Первого арбитражного апелляционного суда от 06.08.2020 оставил без изменения. В кассационной жалобе союз просит об отмене судебных актов, ссылаясь на отсутствие у истца права на получение компенсационной выплаты.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Право истца на получение компенсационной выплаты основано на переходе ему в силу статей 382, 383, 384 Гражданского кодекса Российской Федерации прав потерпевшего и отсутствии законных препятствий для получения преемником потерпевшего выплат, основанных на статьях 18, 19, 24 Федерального закона от 25.05.2002 № 40-ФЗ «Об обязательном страховании гражданской ответственности владельцев транспортных средств».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