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04.08.2020, оставленным без изменения постановлением Одиннадцатого арбитражного апелляционного суда от 14.10.2020, первоначальные исковые требования удовлетворены, с компании в пользу общества взыскано 1 696 213 руб. 78 коп. задолженности, 78 858 руб. 72 коп. процентов и 30 751 руб. расходов по уплате государственной пошлины. Встречный иск удовлетворен частично, с общества в пользу компании взыскано 817 825 руб. 36 коп. пеней. С учетом зачета встречных требований с компании в пользу общества взыскано 957 246 руб. 42 коп. Постановлением Арбитражного суда Поволжского округа от 22.12.2020 решение суда первой инстанции и постановление суда апелляционной инстанции отменены, дело направлено на новое рассмотрение в Арбитражный суд Республики Татарстан.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оставить в силе решение суда первой инстанции и постановление суда апелляционной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Таких оснований по результатам изучения обжалуемого судебного акта и доводов кассационной жалобы не установлено. Суд округа, установив, что судами первой и апелляционной инстанций при снижении размера неустойки по встречному иску нарушены требования статьи 395 Гражданского кодекса Российской Федерации, не указан расчет взысканной неустойки, а также не дана оценка доводам компании, учитывая, что встречный иск направлен к зачету первоначального иска, отменил их судебные акты в полном объеме и направил дело на новое рассмотрение в Арбитражный суд Республики Татарстан, указав на необходимость определить размер подлежащей взысканию неустойки в соответствии с положениями гражданского законодательства и рассмотреть встречные требования сторон. Обжалуемое постановление суда округа принято в пределах полномочий, предоставленных арбитражному суду округа (статьи 286 ,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По правилам статьи 41 Арбитражного процессуального кодекса Российской Федерации заявитель не лишен возможности при новом рассмотрении дела приводить свои доводы по всем возникающим в ходе рассмотрения дела вопросам и представлять доказательства.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«ТеплоВентСервис»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"Тепловентсервис" (подробнее) Ответчики: Общество с ограниченной ответственность "ОмегаСервис" (подробнее) Иные лица: Арбитражный суд Республики Башкортостан (подробнее) Арбитражный суд Свердловской области (подробнее) Межрайонная инспекция Федеральной налоговой службы №14 по РТ (подробнее) Одиннадцатый Арбитражный апелляционный суд (подробнее) ООО "Стройгазмонтаж" (подробнее) ПАО "ГАЗПРОМ"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