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27.07.2020, оставленным без изменения постановлением Первого арбитражного апелляционного суда от 12.10.2020 и постановлением Арбитражного суда Волго-Вятского округа от 31.12.2020, заявление общества «Лифтмонтажспецналадка» о взыскании 550 000 рублей судебных расходов удовлетворено на сумму в 200 000 рублей. В кассационной жалобе компания просит о пересмотре судебных актов в отношении судебных расходов, ссылаясь на завышение их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«Нижегородская лифтовая компания-Монтаж»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"Нижегородская лифтовая компания-Монтаж" (подробнее) Ответчики: ООО "Лифтмонтажспецналадка"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