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19.12.2019, оставленным без изменения постановлением Девятого арбитражного апелляционного суда от 25.06.2020, по первоначальному иску взыскано 7 180 381 рубль 25 копеек задолженности и 280 034 рубля пеней, в удовлетворении встречного иска отказано. Арбитражный суд Московского округа постановлением от 11.11.2020 решение от 19.12.2019 и постановление Девятого арбитражного апелляционного суда от 25.06.2020 оставил без изменения. В кассационной жалобе общество «ЭфАйГрупп» просит об отмене судебных актов, ссылаясь на нарушение в исследовании и оценке доказательств и игнорирование злоупотребления истцом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Взаиморасчеты сторон в рамках субагентских правоотношений исследованы и оценены судами первой и апелляционной инстанций, к компетенции которых отнесены. Вопросы доказывания и оценки доказательств и досудебного порядка урегулирования спора, с которыми связаны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«ЭфАйГрупп»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ГРУППА КОМПАНИЙ "АЛЬТАИР" (подробнее) Ответчики: ООО ЭФАЙГРУПП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