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17.03.2020, оставленным без изменения постановлениями Тринадцатого арбитражного апелляционного суда от 02.07.2020 и Арбитражного суда Северо-Западного округа от 19.11.2020, исковые требования удовлетворены частично, с предприятия в пользу общества взысканы 5 877 рублей 72 копейки задолженности, 71 рубль 71 копейка неустойки, неустойка, начисленная за каждый день просрочки в размере одной трехсотой действующей на дату уплаты пеней ключевой ставки Центрального банка Российской Федерации за период с 26.06.2019 по дату фактического исполнения обязательства. В удовлетворении остальной части исковых требований отказано. В кассационной жалобе, поданной в Верховный Суд Российской Федерации, общество ставит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обществом (подрядчик) и предприятием (заказчик) заключен контракт от 07.05.2018 № 939149 на выполнение работ по комплексному обследованию расположенных во Всеволожском районе Ленинградской области сооружений с оценкой их прочности, устойчивости и эксплуатационной надежности. Основанием для обращения в суд с настоящим иском послужила неполная оплата предприятием работ по контракту. Оценив представленные в материалы дела доказательства, руководствуясь положениями статей 309 , 310 , 702 , 711 , 720 , 721 , 753 , 763 Гражданского кодекса Российской Федерации, суды пришли к выводу о наличии оснований для частичного удовлетворения исковых требований с учетом уплаченной предприятием за работы по контракту суммы 466 685 рублей 24 копейки (за вычетом рассчитанных ответчиком пеней и стоимости экспертизы). При исследовании обстоятельств дела установлено, что заказчик правомерно привлек экспертную организацию для проведения экспертизы выполненных обществом работ, по результатам которой были установлены нарушения подрядчиком условий контракта. Кроме того, установив обоснованность отказа заказчика в допуске специалистов подрядчика на объект, суды отказали во взыскании дополнительных расходов, связанных с выездом представителей. Доводы кассационной жалобы являлись предметом рассмотрения судов и получили надлежащую правовую оценку, направлены на переоценку установленных фактических обстоятельств дела и представленных в материалы дела доказательств, основаны на неверном толковании норм права, не опровергают выводы судов,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«Активпроект»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"АктивПроект" (подробнее) Ответчики: Муниципальное предприятие "Всеволожское предприятие электрических сетей" (подробнее) Судьи дела: Антонова М.К. (судья) (подробнее) Судебная практика по: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