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29.07.2019, оставленным без изменения постановлением Девятого арбитражного апелляционного суда от 16.10.2019 и постановлением Арбитражного суда Московского округа от 06.02.2020, в иске отказано. В кассационной жалобе, поданной в Судебную коллегию Верховного Суда Российской Федерации, заявитель, выражая несогласие с обжалуемыми судебными актами, просил пересмотреть их в порядке кассационного производства, ссылаясь на их незаконность.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Отказывая в удовлетворении заявленных требований, суд первой инстанции, с выводами которого согласились суды апелляционной инстанции и округа, исследовав и оценив представленные доказательства по правилам главы 7 Кодекса, руководствуясь положениями статей 15 , 53 , 53.1 Гражданского кодекса Российской Федерации, статьи 44 Федерального закона от 08.02.1998 № 14-ФЗ «Об обществах с ограниченной ответственностью», исходил из того, что основания для привлечения единоличного исполнительного органа общества к гражданско-правовой ответственности в виде возмещения убытков отсутствуют; истцом не доказано, что неразумные и недобросовестные действия бывшего генерального директора привели к неисполнению договорных обязательств перед продавцом спорного судна, недостаточность денежных средств у общества явилась следствием неисполнения договорных обязательств контрагентами общества, что не выходит за рамки обычного коммерческого риска. Выводы судов подробно мотивированы. Оснований для иных выводов не имеется. Изложение заявителем своего представления о фактической стороне спора не свидетельствует о неправильном применении и (или) нарушении судами норм материального и (или) процессуального права или допущенной судебной ошибке. Доводы заявителя не подтверждают существенных нарушений норм права, повлиявших на исход дела. С учетом изложенного, оснований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не имеется.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Баранову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Е.Н.Золотова Суд: Верховный Суд РФ (подробнее) Истцы: ООО "СУДОХОДНАЯ КОМПАНИЯ ЭСЭМСИ" (подробнее) Судьи дела: Золотова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