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16.03.2020, оставленным без изменения постановлением Тринадцатого арбитражного апелляционного суда от 25.06.2020 и постановлением Арбитражного суда Северо-Западного округа от 03.11.2020, в удовлетворении иска отказано. В кассационной жалобе общество просит об отмене судебных актов, ссылаясь на соответствие договору заявленного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наступление согласованного сторонами последствия в виде прекращения обязательства без взаимных претензий к установленному невнесению предпринимателем предварительной оплаты за товар, поэтому отказали в иске в соответствии с договором от 05.12.2018 № ТДБ-2121-18 и статьями 431 , 454 , 486 , 506 , 510 , 515 Гражданского кодекса Российской Федерации. Невыборки товара, позволявшей применить требуемое в иске последствие, суды не установили.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«Благо»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"ТОРГОВЫЙ ДОМ "БЛАГО"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