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11.02.2020, оставленным без изменения постановлением Девятого арбитражного апелляционного суда от 02.07.2020, иск удовлетворен. Арбитражный суд Московского округа постановлением от 11.11.2020 отменил решение от 11.02.2020 и постановление Девятого арбитражного апелляционного суда от 02.07.2020 в связи с неправильным применением норм об исковой давности и направил дело на новое рассмотрение в Арбитражный суд города Москвы. В кассационной жалобе общество «Русский Продукт» просит об отмене постановления окружного суда вследствие нарушения в применении норм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период начисления процентов определен с нарушением статей 196 , 966 Гражданского кодекса Российской Федерации, окружной суд отменил судебные акты нижестоящих в соответствии с основаниями и пределами полномочий, предусмотренными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«Русский Продукт»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"Русский продукт"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