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«Хусманн Рус» обратилось в Арбитражный суд города Москвы с иском о взыскании с общества с ограниченной ответственностью «Экомтех» 44 690 507 рублей задолженности по договору поставки от 09.08.2019 № 09/08/2019 и 625 363 рублей процентов за пользование чужими денежными средствами. Судом принят встречный иск общества с ограниченной ответственностью «Экомтех» о признании договора от 09.08.2019г № 09/08/2019 незаключенным. Решением Арбитражного суда города Москвы от 27.05.2020 в удовлетворении первоначального и встречного исков отказано. Постановлением Девятого арбитражного апелляционного суда от 27.08.2020 решение суда первой инстанции оставлено без изменения. Арбитражный суд Московского округа постановлением от 28.12.2020 указанные судебные акты отменил и направил дело на новое рассмотрение в Арбитражный суд города Москвы. Общество с ограниченной ответственностью «Экомтех»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«Экомтех»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"ХУСМАНН РУС" (подробнее) Ответчики: ООО "ЭКОМТЕХ"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