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30.01.2020 иск удовлетворен. Первый арбитражный апелляционный суд постановлением от 05.08.2020 отменил решение от 30.01.2020 и отказал в удовлетворении иска. Арбитражный суд Волго-Вятского округа постановлением от 10.11.2020 постановление Первого арбитражного апелляционного суда от 05.08.2020 оставил без изменения. В кассационной жалобе общество «Гардарика-Екатеринбург» просит об отмене судебных актов апелляционного и окружного судов, ссылаясь на возникновение убытков в связи с несоблюдением известного ответчику температурного режима транспортировки груза.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наличие причинно-следственной связи убытков с неисполнением истцом условий договора от 19.04.2016 № 806 и заявки в отношении информирования ответчика о характеристике перевозимого груза и выборе для этого соответствующего транспортного средства, поэтому отказал в переложении возмещенных истцом заказчику убытков на перевозчика в соответствии со статьей 15 , 393 , 796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«Гардарика-Екатеринбург»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"Гардарика - Екатеринбург" (подробнее) Ответчики: ООО ТК "Приволжье-Транс"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