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11.02.2020, оставленным без изменения постановлением Двадцатого арбитражного апелляционного суда от 30.06.2020, иск удовлетворен. Арбитражный суд Центрального округа постановлением от 02.11.2020 решение от 11.02.2020 и постановление Двадцатого арбитражного апелляционного суда от 30.06.2020 оставил без изменения. В кассационной жалобе общество «Форма» просит об отмене судебных актов, ссылаясь на неосновательное непризнание зачета и соглашения об отказе от применения штрафных санкций.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наличие неоплаченной задолженности в заявленном размере за поставленный товар и руководствуясь статьями 330 , 486 , 506 , 516 Гражданского кодекса Российской Федерации, правомерно удовлетворили иск. Доводы о состоявшемся зачете и отказе от применения штрафных санкций признаны не соответствующими соглашению сторон.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"Агрокомплекс "Топилы" (подробнее) ООО КОНКУРСНОМУ УПРАВЛЯЮЩЕМУ "АГРОКОМПЛЕКС "ТОПИЛЫ" (подробнее) ООО КОНКУРСНЫЙ УПРАВЛЯЮЩИЙ "АГРОКОМПЛЕКС "ТОПИЛЫ" Коротков К.Г. (подробнее) ООО к/у "Агрокомплекс "Топилы" Коротков К.Г. (подробнее) Ответчики: ООО "АДВАГ"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