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29.01.2020, оставленным без изменения постановлением Седьмого арбитражного апелляционного суда от 04.06.2020 и постановлением Арбитражного суда Западно-Сибирского округа от 20.11.2020,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финансово-хозяйственной деятельности общества инспекцией вынесено решение, которым доначислены налог на добавленную стоимость (далее - НДС) и налог на прибыль в общей сумме 11 894 094 рубля, соответствующие пени, пени по налогу на доходы физических лиц (далее - НДФЛ), штрафы, предложено удержать и перечислить в бюджет неудержанный НДФЛ в размере 4 009 069 рублей 64 копеек. Основанием для доначисления НДС и налога на прибыль послужил вывод инспекции о необоснованном получении обществом налоговой выгоды в виде применения вычетов по НДС и включения затрат в расходы, уменьшающие налогооблагаемую базу по налогу на прибыль по хозяйственным операциям с ООО «СтройПромРегион», ООО «Изырла» по договорам субподряда на выполнение строительно-монтажных работ на объектах АО «ЕВРАЗ ЗСМК», АО «ЦОФ «Кузнецкая» в целях выполнения обязательств перед ОАО «НовокузнецкМеталлургМонтаж». Не согласившись частично с решением инспекции, общество обратилось в арбитражный суд. Исследовав и оценив представленные в материалы дела доказательства, суды согласились с выводами налогового органа о том, что представленные обществом первичные учетные документы содержат недостоверные сведения, не подтверждают реальность спорных хозяйственных операций заявителя с указанными контрагентами, направлены на создание фиктивного документооборота в целях получения необоснованной налоговой выгоды, поскольку контрагенты не могли выполнять обязательства по договорам. Судебные инстанции указали, что представленные в обоснование затрат документы носят противоречивый характер, налогоплательщиком не представлено доказательств направления заказчикам сообщения о привлечении для выполнения работ субподрядчиков (контрагентов), что прямо предусмотрено условиями заключенных договоров, контрагенты исключены из реестра членов саморегулируемой организации (СРО), используемый строительный материал принадлежал обществу, работники либо числились в штате заявителя, либо были привлечены им в рамках договоров оказания услуг, движение денежных средств носило транзитный характер. Установив указанные обстоятельства, руководствуясь положениями статей 169 , 171 , 172 , 252 Налогового кодекса,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законности решения инспекции в указанной части. Доводы общества о реальности сделок с контрагентами,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В отношении доначислений по НДФЛ, признанных судами законными и обоснованными, кассационная жалоба возражений не содержит.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«ЭнергоМонтажСервис»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"Энергомонтажсервис" (подробнее) Ответчики: МИФНС №4 по КО (подробнее) ФНС России МРИ №4 по КО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