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29.08.2019 в реестр требований кредиторов ФИО1 включено требование общества с ограниченной ответственностью «ЦентрИнвест» (далее – общество «ЦентрИнвест») в размере 29 368 674 рубля 95 копеек – основной долг, 385 000 рублей – неустойка. Впоследствии общество с ограниченной ответственностью «Обогатительные комплексы» обратилось в суд с заявлением о процессуальном правопреемстве общества «Центр-Инвест» в размере основного долга 14 023 541 рубля 15 копеек, неустойки 150 000 рублей. Определением Арбитражного суда города Москвы от 13.03.2020 отказано в удовлетворении заявления. Постановлением Девятого арбитражного апелляционного суда от 27.07.2020, оставленным без изменения постановлением Арбитражного суда Московского округа от 19.10.2020, отменено определение суда первой инстанции от 13.03.2020,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Письмом Верховного суда Российской Федерации от 17.02.2021 материалы дела № А40-269083/2018, касающиеся данного спора, были истребованы в Арбитражном суде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Удовлетворяя заявление, апелляционный суд, руководствуясь положениями статьи 16 Арбитражного процессуального кодекса Российской Федерации, исходил из обоснованности заявления и недоказанности оснований для отказа в его удовлетворении. Суд округа, руководствуясь позицией, изложенной в пункте 23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согласился с выводами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"Райффайзен банк" (подробнее) АО "Райффайзенбанк" (подробнее) ООО "Инжиниринг Комплект" (подробнее) ООО "ОБОГАТИТЕЛЬНЫЕ КОМПЛЕКСЫ" (подробнее) ООО "Центр-Инвест" (подробнее) ПАО АКБ АКЦЕНТ (подробнее) ПАО Банк ВТБ (подробнее) ПАО "Сбербанк" в лице филиала - Московского банка Сбербанк (подробнее) финансовый управляющий Орловой Т.И. Решетняк Е.Н. (подробнее) Иные лица: ГУ МВД России по Владимирской области (подробнее) ГУ МВД России по Москве (подробнее) НП "СРО АУ "РАЗВИТИЕ" (подробнее) ООО "БУЛЛИТТ РУС" (подробнее) Управление Росреестра по г.Москва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