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А76-23055/2019 и одновременно просит о приостановлении исполнения обжалуемого решения. Учитывая неуказание мотивов для приостановления исполнения решения и неустановление судом требуемых частью 3 статьи 291.6 Арбитражного процессуального кодекса Российской Федерации условий для него,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приостановлении исполнения решения Арбитражного суда Челябинской области от 02.07.2020 по делу № А76-23055/2019.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