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24.03.2020, оставленным без изменения постановлением Пятнадцатого арбитражного апелляционного суда от 09.08.2020 и постановлением Арбитражного суда Северо-Кавказского округа от 10.11.2020,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компании мотивированы тем, что в результате признания в рамках дела о ее банкротстве недействительной сделкой зачета, совершенного на основании заявления общества, и применения последствий недействительности сделки, у последнего имеется непогашенная задолженность по договорам участия в долевом строительстве и договору строительного подряда. Исследовав и оценив по правилам статьи 71 Арбитражного процессуального кодекса представленные в материалы дела доказательства, признав доказанным наличие задолженности, ее размер и обязанность ответчика по ее оплате, руководствуясь статьями 166, 167, 309, 310, 702, 711, 720 Гражданского кодекса Российской Федерации, суды первой и апелляционной инстанций пришли к выводу об обоснованности исковых требований. Исходя из того, что до признания судом зачета недействительным в рамках дела № А32-889/2017 у истца отсутствовало право на взыскание спорной задолженности ввиду ее зачета в счет оплаты требований общества, которое появилось только после применения судом реституции, суды отклонили доводы ответчика о пропуске компанией срока исковой давности. Суд округа признал выводы судов первой и апелляционной инстанций законными и обоснованными.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основанием для пересмотра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«Центр-Актив»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