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«РАДОНСТРОЙ» (далее – истец) обратилось в Арбитражный суд города Москвы с иском к Федеральному 2 государственному бюджетному учреждению «Информационно-методический центр по экспертизе, учету и анализу обращения средств медицинского применения» Федеральной службы по надзору в сфере здравоохранения (далее – ответчик) о взыскании 97 948 963 рублей 40 копеек неосновательного обогащения, 10 916 506 рублей 91 копеек процентов за пользование чужими денежными средствами, начисленными за период с 31.08.2019 по 17.03.2020, процентов за пользование чужими денежными средствами начисленных с 18.03.2020 по дату фактического исполнения обязательства, рассчитанных по ставке Центрального Банка России, действующей в момент исполнения обязательства по государственному контракту от 11.12.2017 № 293-ГЗ, а ответчик, в свою очередь, заявил встречный иск об обязании истца вывезти с территории, по адресу: 190121, г. Санкт-Петербург, набережная реки Фонтанки, д. 203, литера ЖБ, оборудование и материалы, поставленные согласно накладным № 110-121. Решением Арбитражного суда города Москвы от 03.07.2020, оставленным без изменения постановлением Девятого арбитражного апелляционного суда от 11.09.2020, требования истца удовлетворены, ответчику отказано в удовлетворении встречных требований. Арбитражный суд Московского округа постановлением от 14.12.2020 отменил указанные судебные акты и направил дело на новое рассмотрение в суд первой инстанции. Истец обратился в Верховный Суд Российской Федерации с кассационной жалобой на указанное постановление суда округа, в которой просит его отменить, оставив в силе решение суда первой инстанции и постановление суда апелляционной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3 Принимая во внимание установленные судами первой и апелляционной инстанций обстоятельства, связанные с действиями сторон при исполнении контракта, суд округа пришел к выводу, что суды неполно исследовали обстоятельства, имеющие существенное значение для правильного рассмотрения дела, в том числе не исследовали основания, указанные ответчиком в отказе от исполнения государственного контракта. Поскольку последствия для заказчика и подрядчика при отказе от договора по разным основаниям различны, суд округа посчитал, что без установления обстоятельств, связанных с исследованием вопроса о причинах расторжения договора, выводы судов о правомерности требований истца являются преждевременными. Действуя в пределах полномочий, установленных Арбитражным процессуальным кодексом Российской Федерации, суд округа отменил судебные акты судов нижестоящих инстанций и направил дело на новое рассмотрение в суд первой инстанции. Обжалуя судебные акты в Верховный Суд Российской Федерации, истец приводит доводы, которые не свидетельствуют о существенных нарушениях судом округа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Таких обстоятельств в жалобе истца не приведено. При этом истец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спора. Таким образом,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