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«ГТО» (далее – истец) обратилось в Арбитражный суд города Санкт-Петербурга и Ленинградской области с иском к Комитету имущественных отношений Санкт-Петербурга (далее – ответчик) о взыскании 6 880 540 рублей 50 копеек задолженности по государственным контрактам от 04.12.2017 № 168 и № 169. К участию в деле в качестве третьего лица, не заявляющего самостоятельные требования, привлечено публичное акционерное общество Акционерный коммерческий банк «Абсолют банк». Решением Арбитражного суда города Санкт-Петербурга и Ленинградской области от 21.09.2018 истцу отказано в удовлетворении заявленных требований. 2 Постановлением Тринадцатого арбитражного апелляционного суда от 29.06.2020 решение суда первой инстанции отменено, принят отказ истца от требований в части взыскания с ответчика 65 742 рублей 01 копейки и прекращено производство по делу в указанной части, с ответчика в пользу истца взыскано 6 814 798 рублей 49 копеек задолженности за выполненные по государственным контрактам работы. Арбитражный суд Северо-Западного округа постановлением от 13.11.2020 оставил без изменения постановление суда апелляционной инстанции. Ответчик обратился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отменить, оставив в силе решение суда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Удовлетворяя требования истца, оценив представленные в материалы дела доказательства и установив, что являясь исполнителем по заключенным с ответчиком (заказчик) государственным контрактам от 04.12.2017 № 168 и № 169, истец выполнил работы, которые согласно заключению судебной экспертизы соответствуют условиям контрактов и их стоимость составляет 6 814 798 рублей 49 копеек, руководствуясь положениями Гражданского кодекса Российской Федерации, суд апелляционной инстанции взыскал с ответчика в пользу истца указанную стоимость фактически выполненных истцом работ по контрактам.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ответчик приводит доводы, которые являлись предметом рассмотрения судов и 3 получили правовую оценку с учетом установленных обстоятельств дела, связанных с выполнением истцом работ по контрактам на указанную сумму, которые были переданы ответчику и имеют для него потребительскую ценность.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Несогласие ответчика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Изложенные в жалобе доводы ответчика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