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указывает на невозможность уплатить государственную пошлину за подачу жалобы в связи с ведением в отношении него конкурсного производства. Согласно статье 102 Арбитражного процессуального кодекса Российской Федерации и пункту 2 статьи 333.22 Налогового кодекса Российской Федерации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акционерному обществу «Архангельские электрические сети»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