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«МВ Стил-Юг» (далее – общество) обратилось в Арбитражный суд Краснодарского края с заявлением к Департаменту по надзору в строительной сфере Краснодарского края (далее – административный орган) о признании незаконным и отмене постановления от 19.11.2019 № 738/2019 о привлечении к административной ответственности, предусмотренной частью 2 статьи 14.28 Кодекса Российской Федерации об административных правонарушениях (далее – КоАП РФ). Решением Арбитражного суда Краснодарского края от 29.01.2020 заявление общества удовлетворено. 2 Постановлением Пятнадцатого арбитражного апелляционного суда от 01.07.2020 решение суда первой инстанции отменено, обществу отказано в удовлетворении заявления. Арбитражный суд Северо-Кавказского округа постановлением от 02.11.2020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19.11.2019 № 738/2019 общество привлечено к административной ответственности, предусмотренной частью 2 статьи 14.28 КоАП РФ, с назначением наказания в виде административного штрафа в размере 200 000 рублей, за неисполнение обязанностей, предусмотренных статьей 19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Не согласившись с указанным постановлением административного органа, общество оспорило его в арбитражном суде. Суд первой инстанции, ссылаясь на отсутствие в действиях общества состава вмененного правонарушения, признал незаконным и отменил оспариваемое постановление административного органа. Суд апелляционной инстанции пришел к выводу о нарушении обществом сроков внесения изменений в проектную декларацию и опубликования таких 3 изменений в единой информационной системе жилищного строительства и признал правомерным оспариваемое постановление административного органа в связи с наличием в действиях общества состава административного правонарушения, ответственность за которое предусмотрена частью 2 статьи 14.28 КоАП РФ. На основании изложенного, суд апелляционной инстанции отменил решение суда первой инстанции и отказал обществу в удовлетворении заявления.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общество приводит доводы о соблюдении сроков внесения изменений в проектную декларацию и опубликования таких изменений в единой информационной системе жилищного строительства. Указанные доводы общества являлись предметом рассмотрения судов и были мотивированно отклонены. При этом общество в кассационной жалобе не ссылается на наличие обстоятельств, свидетельствующих о возможности применения к спорным правоотношениям положений части 2 статьи 1.7 КоАП РФ. Оспариваемое постановление административного органа о назначении обществу наказания в виде административного штрафа исполнено обществом.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