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Семёнов Владимир Павлович обратился в суд с заявлением о признании недействительной сделкой перечисления с расчётного счёта должника в пользу общества денежных средств в общем размере 15 360 250 рублей; применении последствий недействительности сделки. Определением Арбитражного суда Московской области от 12.11.2019 (с учётом определения того же суда первой инстанции от 21.02.2020 об исправлении опечатки), оставленным без изменения постановлениями Десятого арбитражного апелляционного суда от 07.09.2020 и Арбитражного суда Московского округа от 19.11.2020,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Московской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пунктами 5 – 7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недействительной оспариваемой сделки, совершённой безвозмездно в отсутствие каких-либо разумных экономических оснований неплатёжеспособным должником в период подозрительности в пользу общества с целью причинения вреда имущественным правам кредиторов путём необоснованного уменьшения активов должника и его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«Истра+»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