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10.04.2020, оставленным без изменения постановлением Девятого арбитражного апелляционного суда от 13.08.2020 и постановлением Арбитражного суда Московского округа от 19.11.2020, с общества в пользу предпринимателя взыскано 165 483 руб. 57 коп. неустойки, в удовлетворении остальной части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права, просит отменить указанные судебные акты и принять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предприниматель (цессионарий), обращаясь в арбитражный суд с иском по настоящему делу, сослался на то, что ему на основании заключенного с третьим лицом (цедент) договора уступки права требования от 10.06.2019 перешло право требования к обществу (застройщик) штрафных санкций по договору участия в долевом строительстве от 11.10.2016 № 2/43/Е. Суды первой и апелляционной инстанций, руководствуясь статьями 165.1 , 401 , 405 , 406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после истечения согласованного сторонами срока передачи объекта долевого строительства ответчик уведомил участника о готовности объекта к передаче, при этом последний его приемку не осуществил, пришли к выводу о наличии у истца права требования уплаты неустойки, определив период ее взыскания исходя из фактических обстоятельств дела и снизив ее размер по правилам статьи 333 Гражданского кодекса Российской Федерации. Принимая во внимание, что передача потребителем права требования штрафа возможна только после его присуждения судом, суды отказали в удовлетворении соответствующего требования. Суд округа признал выводы судов первой и апелляционной инстанций законными и обоснованными.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"ЛОГИТЕК"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