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Тульской области выдан судебный приказ от 29.04.2020 о взыскании с общества в пользу предпринимателя 317 708 руб. задолженности и 4677 руб. расходов по уплате государственной пошлины. Постановлением Арбитражного суда Центрального округа от 06.11.2020, принятым по результатам рассмотрения кассационной жалобы конкурсного кредитора общества – общества с ограниченной ответственностью «СпецЭлектроКомплект», названный судебный приказ отменен с указанием на право предпринимателя предъявить данное требование в порядке искового производства либо в деле о несостоятельности (банкротстве) общества.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обжалуемого судебного акта и доводов кассационной жалобы не установлено. Отменяя судебный приказ, суд округа руководствовался разъяснениями, приведенными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пункте 44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производстве», и исходил из того, что оспоренный судебный приказ может повлечь необоснованное увеличение кредиторской задолженности в ущерб конкурсной массе общества и нарушение прав и законных интересов его конкурсных кредиторов. Приведенные в кассационной жалобе доводы не подтверждают нарушений судом округа норм права, влекущих отмену или изменение обжалуемого судебного акта на основании части 1 статьи 291.11 Арбитражного процессуального кодекса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Макагона Артема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