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«Витаминка» обратилось в Арбитражный суд Самарской области с иском о взыскании с акционерного общества «Фармперспектива» 1 426 950 рублей 93 копеек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«Эльбрус». Решением Арбитражного суда Самарской области от 17.03.2020 в удовлетворении иска отказано. Постановлением Одиннадцатого арбитражного апелляционного суда от 17.07.2020 решение суда первой инстанции оставлено без изменения. Арбитражный суд Поволжского округа постановлением от 02.11.2020 указанные судебные акты оставил без изменения. Общество с ограниченной ответственностью «Витаминка»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применив положения статьи 69 Арбитражного процессуального кодекса Российской Федерации, учитывая обстоятельства, установленные по делу № А55-2907/2018, руководствуясь положениями статей 15, 393, 408, 506, 516 Гражданского кодекса Российской Федерации, суды пришли к выводу о недоказанности истцом возникновения убытков в результате нарушения ответчиком обязательств по договору и недопоставки лекарственных средств. Доводы, изложенные заявителем в кассационной жалобе, об отсутствии доказательств поставки товара ответчиком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«Витаминка»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