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06.02.2020, оставленным без изменения постановлением Девятого арбитражного апелляционного суда от 15.06.2020 и постановлением Арбитражного суда Московского округа от 18.09.2020, первоначальные и встречные исковые требования удовлетворены; произведен зачет требований, в результате которого с предприятия в пользу общества взыскано 10 226 355 руб. 66 коп. 2 В кассационной жалобе, поданной в Верховный Суд Российской Федерации, общество просит изменить указанные судебные акты в части проведения зачета, ссылаясь на нахождение общества в стадии банкротства и нарушение судами норм материального права. В части удовлетворения первоначальных и встречных требований судебные акты заявителем не обжалуются.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обжалуемых судебных актов в кассационном порядке по доводам жалобы, изученным по материалам истребованного дела, не установлено. Довод заявителя о невозможности проведения зачета встречных требований подлежит отклонению с учетом правовой позиции, изложенной в пункте 19 Обзора Верховного Суда Российской Федерации № 2 (2018), утвержденного Президиумом Верховного Суда Российской Федерации от 04.07.2018, согласно которой действия, направленные на установление сальдо взаимных предоставлений в рамках одного договора подряда, не являются сделкой, которая может быть оспорена по правилам статьи 61.3 Федерального закона от 26.10.2002 № 127-ФЗ «О несостоятельности (банкротстве)», ввиду отсутствия такого квалифицирующего признака как получение стороной предпочтения. Учитывая, что иных доводов не приведено, оснований для передачи кассационной жалобы для рассмотрения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«Петровский фарватер»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