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Тубольцев Юрий Васильевич обратился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«Мерси трейд» 2 112 000 рублей долга по договору от 17.09.2018 на оказание услуг самоходной машины и 231 278 рублей 38 копеек процентов за пользование чужими денежными средствами. Решением Арбитражного суда Приморского края от 09.06.2020 в удовлетворении иска отказано. Постановлением Пятого арбитражного апелляционного суда от 25.08.2020 решение суда первой инстанции отменено, иск удовлетворен. Арбитражный суд Дальневосточного округа постановлением от 05.11.2020 постановление суда апелляционной инстанции оставил без изменения. Общество с ограниченной ответственностью «Мерси трейд» обратилось в Судебную коллегию Верховного Суда Российской Федерации с кассационной 2 жалобой и дополнением к ней на постановления суда апелляционной инстанции и окружного суда, ссылаясь на существенные нарушения норм права. В представленном на кассационную жалобу отзыве индивидуальный предприниматель Тубольцев Юрий Васильевич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акт сдачи-приемки работ надлежащим доказательством, установив факт ненадлежащего исполнения ответчиком обязательств по договору в части оплаты оказанных услуг, суд апелляционной инстанции сделал вывод об обоснованности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3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«Мерси 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