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 Воронежской области от 03.06.2020, оставленным без изменения постановлением Девятнадцатого арбитражного апелляционного суда от 12.08.2020, в удовлетворении первоначального иска отказано, встречный иск удовлетворен. Арбитражный суд Центрального округа постановлением от 19.11.2020 решение от 03.06.2020 и постановление Девятнадцатого арбитражного апелляционного суда от 12.08.2020 оставил без изменения. В кассационной жалобе общество «Ника М» просит об отмене судебных актов, ссылаясь на игнорирование судами установленных в ранее 2 рассмотренных делах обстоятельств, отсутствие доказательств поставки товара и принятие неотносимых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Отсутствие преюдиции ранее состоявшихся в отношении спорной поставки судебных актов обосновано судами. Суды, установив отказ истца от принятия товара, приняли исходящие от незаинтересованных лиц доказательства исполнения договора от 25.07.2017 № 64/к, подтверждающие возникновение у истца в силу статей 486, 506 Гражданского кодекса Российской Федерации обязанности оплатить товар.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«Ника 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