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кредитор обратился в суд с заявлением о признании должника несостоятельным (банкротом), принятым к производству определением Арбитражного суда города Москвы от 12.12.2019. Определением Арбитражного суда города Москвы от 17.03.2020, оставленным без изменения постановлением Девятого арбитражного апелляционного суда от 05.08.2020, заявление признано обоснованным, введена процедура реструктуризации долгов гражданина, требования кредитора включены в реестр требований кредиторов должника. Постановлением Арбитражного суда Московского округа от 14.12.2020 указанные судебные акты отменены, дело направлено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2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дело на новое рассмотрение, суд округа, руководствуясь статьями 61, 69, 71, 168 Арбитражного процессуального кодекса Российской Федерации, признал их основанными на неполном выяснении обстоятельств дела, а потому преждевременными содержащиеся в них выводы о наличии оснований для признания заявления кредитора обоснованным. Обжалуемое постановление принято в пределах полномочий, предоставленных суду округа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При новом рассмотрении заявитель не лишен возможности изложить свои доводы со ссылками на нормы права и имеющиеся в деле доказательства, поскольку дело направлено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«Проектная компания «Сирень-30»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