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31.01.2020 в удовлетворении иска отказано. Постановлением Девятого арбитражного апелляционного суда от 31.08.2020, оставленным без изменения постановлением Арбитражного суда Московского округа от 13.11.2020, решение частично отменено: взыскано 298 761 рубль задолженности, 130 406 рублей 50 копеек неустойки; в остальной части решение оставлено без изменения. В кассационной жалобе предприниматель просит об отмене судебных актов, ссылаясь на сфальсифицированные доказательства получения товара.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отверг ссылки предпринимателя на отсутствие доказательств получения товара от его имени неуполномоченными лицами ссылкой на представленные истцом универсальные передаточные акты, содержащие, кроме подписей, оттиск печати предпринимателя. Требование о взыскании задолженности за товар подтверждены доказательствами получения товара и удовлетворены в подтвержденной части в соответствии со статьями 486, 506, 516 Гражданского кодекса Российской Федерации. Приведенные в жалобе доводы не опровергают выводов судов и не образуют обозначенных оснований для пересмотра судебных в кассационном порядке.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Мельникову Павлу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