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24.03.2020, оставленным без изменения постановлением Десятого арбитражного апелляционного суда от 03.08.2020 и постановлением Арбитражного суда Московского округа от 05.11.2020, иск удовлетворен. В кассационной жалобе общество «ЛУИС+» просит о пересмотре судебных актов, ссылаясь на совершение платежа по несуществующему обязательству.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разрешили спор исходя из доказанности получения обществом «ЛУИС+» (поставщиком) от третьего лица в счет оплаты за общество «ДФ-Контракшн» (покупателя) товара, подлежавшего поставке последнему в рамках договора от 27.06.2017 № ЛП2017/0627-4, но не поставленного. В связи с отсутствием у ответчика оснований для удержания спорной суммы иск удовлетворен в соответствии со статьями 330, 486, 506, 516, 521 Гражданского кодекса Российской Федерации. Приведенные в рассматриваемой жалобе доводы не влияют на исполнение ответчиком обязанности возвратить требуемую сумму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«ЛУИС+»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