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города Москвы от 05.06.2020, оставленным без изменения постановлением Девятого арбитражного апелляционного суда от 27.08.2020 и постановлением Арбитражного суда Московского округа от 06.11.2020, исковые требования удовлетворены в части взыскания 93 988 рублей 89 копеек неустойки. В кассационной жалобе предприятие просит о пересмотре судебных актов, ссылаясь на несоответствие их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нарушение обществом (поставщиком) сроков поставки связано в том числе с действиями предприятия (заказчика) и руководствуясь статьями 309, 310, 330, 404 Гражданского кодекса Российской Федерации, суды скорректировали заявленный размер неустойки. Несогласие с оценкой обстоятельств дела и представленных доказательств, осуществленной судами в пределах компетенции, не является поводом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«Московский ордена Ленина и ордена Трудового Красного Знамени метрополитен имени В.И. Ленина»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