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02.08.2019 исковые требования удовлетворены. Постановлением Двадцать первого арбитражного апелляционного суда от 17.07.2020 решение суда первой инстанции изменено, с общества в пользу корпорации взыскано 2 043 421 руб. 61 коп., в удовлетворении остальной части исковых требований отказано. Постановлением Арбитражного суда Центрального округа от 28.10.2020 постановление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постановления судов апелляционной инстанции и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обжалуемого судебного акта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заключение судебной экспертизы, установив факт выполнения обществом работ по договору на сумму 28 999 578 руб. 39 коп. и перечисления ему корпорацией денежных средств в общей сумме 31 043 000 руб., руководствуясь статьями 702, 720, 721, 753 Гражданского кодекса Российской Федерации, суд апелляционной инстанции пришел к выводу о наличии оснований для взыскания с ответчика 2 043 421 руб. 41 коп. излишне уплаченных истцом денежных средств, с чем впоследствии согласился суд округа. Довод заявителя о фальсификации сводного сметного расчета был предметом рассмотрения судов и получил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«ДорНИИ»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