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20.02.2020, оставленным без изменения постановлением Девятого арбитражного апелляционного суда от 22.07.2020 и постановлением Арбитражного суда Московского округа от 10.11.2020, иск удовлетворен. В кассационной жалобе общество просит о пересмотре судебных актов, ссылаясь на отсутствие претензий к качеству товара в согласованные сроки, принятие ненадлежащих доказательств качества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Факт поставки обществом в рамках договора поставки от 24.12.2012 № 54/А-12 некачественного товара и связанное с ним право завода на применение заявленных последствий установлены судами, в связи с чем иск удовлетворен в соответствии со статьями 469, 475, 518 Гражданского кодекса Российской Федерации.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«Интегральные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