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Свиридов Алексей Викторович обратился в суд с заявлением о включении в реестр требований кредиторов должника требования о передаче квартиры, расположенной в доме по строительному адресу: г. Москва, ул. Бочкова, вл. 11А, корп. 23, имеющей следующие проектные характеристики: расположена на 7-ом этаже, секция № 1, условный номер 1, проектной площадью 63,5 кв. м. Определением Арбитражного суда города Москвы от 12.11.2019, оставленным без изменения постановлениями Девятого арбитражного апелляционного суда от 20.08.2020 и Арбитражного суда Московского округа от 09.12.2020, заявление удовлетворено.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71, 100, 201.1 и 201.6 Федерального закона от 26.10.2002 № 127-ФЗ «О несостоятельности (банкротстве)», установив, что обязательства по оплате указанной квартиры исполнены в полном объёме, пришли к выводу об обоснованности и подтверждённости заявленных требований.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«Промсоюз»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