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17.06.2020, оставленным без изменения постановлениями Девятого арбитражного апелляционного суда от 28.09.2020 и Арбитражного суда Московского округа от 21.12.2020,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камеральных налоговых проверок уточненных налоговых деклараций по налогу на имущество организаций за 1-4 кварталы 2015 года инспекция приняла оспариваемые решения от 08.08.2019 о доначислении обществу налога на имущество организаций за 2015 год в отношении каждого отчетного периода. Основанием для принятия указанных решений послужил вывод инспекции о неправомерном определении обществом налоговой базы по налогу на имущество в отношении нежилого здания с кадастровым номером 77:02:0021013:1007, исходя из стоимости данного объекта, которую общество определило самостоятельно расчетным путем, исключив из указанной в Едином государственном реестре недвижимости кадастровой стоимости этого объекта сумму, равную величине налога на добавленную стоимость. Решениями Управления Федеральной налоговой службы по городу Москве от 09.12.2019 №№ 21-19/307178®, 21-19/307185@, 21-19/307191@, 21-19/307182@, вынесенными по результатам рассмотрения жалоб общества, решения налогового органа оставлены без изменения. Отказывая в удовлетворении заявленных требований, суды, руководствуясь положениями статей 374, 375, 378.2 Налогового кодекса Российской Федерации, статей 24.18, 24.20 Федерального закона от 29.07.1998 № 135-ФЗ «Об оценочной деятельности в Российской Федерации», пришли к выводу о законности оспоренных решений ввиду отсутствия у общества правовых оснований для самостоятельного уменьшения установленной кадастровой стоимости объекта недвижимого имущества на сумму исчисленного расчетным путем налога на добавленную стоимость.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доначисление обществу налога на имущество организаций в отношении спорного объекта недвижимости, исходя из его кадастровой стоимости, установленной в соответствии с законодательством и включенной в Единый государственный реестр недвижимости.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Приведенные в жалобе доводы не свидетельствуют о наличии существенных нарушений норм материального и процессуального права, 3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«ПЕРЕВАЛ»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