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26.03.2020, оставленным без изменения постановлениями Девятого арбитражного апелляционного суда от 11.08.2020 и Арбитражного суда Московского округа от 24.11.2020,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поставку сканеров, в связи с чем на него возложена обязанность подписать проект договора и предоставить обеспечение его исполнения. Поскольку заявителем не исполнена обязанность по заключению контракта и предоставлению обеспечения в установленные законом сроки, заказчик обратился в ФАС России с информацией о поставщике, признанном уклонившимся от заключения контракта по итогам электронного аукциона. По результатам рассмотрения представленных сведений антимонопольным органом вынесено оспариваемое решение, которым сведения в отношении общества внесены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частей 5, 6 статьи 83.2, частей 5, 6 статьи 96, части 2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пришли к выводу о законности оспариваемого ненормативного правового акта с учетом установленных обстоятельств по делу. При этом судебные инстанции исходили из недоказанности обстоятельств невозможности соблюдения заявителем положений действующего законодательства по причинам, не зависящим от него. Суды отметили, что недобросовестность общества выразилась в ненадлежащем исполнении своих обязанностей, а именно, им не приняты все возможные и зависящие от него меры для соблюдения норм и правил действующего законодательства, регулирующего порядок заключения государственного контраста. Факт не направления подписанного электронной цифровой подписью проекта контракта и не предоставления в установленные сроки обеспечения исполнения контракта квалифицирован как уклонение от заключения контракта. Ссылка заявителя на иную судебную практику не может служить основанием для отмены обжалуемых судебных актов, исходя из фактических обстоятельств настоящего спора. 3 Изложенные в кассационной жалобе доводы, являлись предметом рассмотрения судов трех инстанций и получили надлежащую правовую оценку,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«Одиссей»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