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«Центр судоремонта «Звездочка» (далее – истец) обратилось в Арбитражный суд города Москвы с иском к Министерству обороны Российской Федерации (далее – ответчик) о взыскании 241 317 255 рублей неосновательного обогащения. Решением Арбитражного суда города Москвы от 24.03.2020, оставленным без изменения постановлением Девятого арбитражного апелляционного суда от 20.07.2020, истцу отказано в удовлетворении заявленных требований. Арбитражный суд Московского округа постановлением от 12.11.2020 оставил без изменения решение суда первой инстанции и постановление суда апелляционной инстанции. 2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проанализировав условия заключенного между сторонами государственного контракта на изготовление и поставку спасательно-буксирного судна по твердой цене, установив фактические обстоятельства, связанные с исполнением истцом обязательств по этому контракту передачей ответчику соответствующего товара, который был оплачен ответчиком в полном объеме по указанной в контракте цене, учитывая отсутствие со стороны ответчика злоупотребления правом при исполнении контракта по согласованной цене,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29.12.2012 № 275-ФЗ «О государственном оборонном заказе», положениями Постановлений Правительства Российской Федерации от 05.12.2013 № 1119, от 17.02.2017 № 208 и от 02.12.2017 № 1465, определяющих порядок определения цены на поставляемую по государственному оборонному заказу продукцию, суды пришли к выводу об отсутствии у ответчика неосновательного обогащения в связи с изменившимся курсом иностранной валюты по отношению к рублю.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об отсутствии оснований для удовлетворения требований истца. 3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отсутствием у надлежащим образом исполнившим обязательства по контракту ответчика неосновательного обогащения на спорную сумму. Несогласие истца с установленными судами фактическими обстоятельствами дела относительно отсутствия у ответчика спорного неосновательного обогащения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