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25.05.2020, оставленным без изменения постановлением Шестого арбитражного апелляционного суда от 05.08.2020 и постановлением Арбитражного суда Дальневосточного округа от 30.10.2020, иск удовлетворен. В кассационной жалобе, поданной в Верховный Суд Российской Федерации, общество, ссылаясь на нарушение судами норм материального права, несоответствие их выводов фактическим обстоятельствам дела, просит отменить указанные судебные акты и направить дело на новое рассмотрение в Арбитражный суд Хабаровского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329, 330, 708, 716, 719, 758, 760, 761 Гражданского кодекса Российской Федерации, пришли к выводу об обоснованности заявленных требований, исходя из установленного факта нарушения ответчиком сроков выполнения работ и устранения недостатков, а также недоказанности вины истца в указанной просрочке исполнения обязательств. Суд округа согласился с выводами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«Энергия»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