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25.03.2020, оставленным без изменения постановлениями Одиннадцатого арбитражного апелляционного суда от 23.07.2020 и Арбитражного суда Поволжского округа от 17.11.2020, исковые требования удовлетворены частично, на общество возложена обязанность в течение сорока календарных дней с момента вступления решения суда в законную силу безвозмездно устранить недостатки работ по государственному контракту от 24.07.2014 № 54 на объекте: Самарский областной перинатальный центр, а именно: заменить тяговые канаты лифтов заводские номера: № 0782, 0783, 0784, 0785, 0786, 0787, 0788, 0789, 0790, 0791; с общества в пользу учреждения взыскана неустойка в сумме 4 956 516 рублей 68 копеек.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(генподрядчик) заключен государственный контракт от 24.07.2014 № 54 на выполнение строительно-монтажных работ по объекту «Проектирование и строительство Самарского областного перинатального центра», который расторгнут соглашением от 14.07.2016. 3 Обращаясь с настоящим иском в арбитражный суд, учреждение указало на неисполнение генподрядчиком требований заказчика об устранении недостатков работ в пределах гарантийного срока. Оценив представленные в материалы дела доказательства, суды, руководствуясь положениями статей 309, 310, 330, 721, 722, 755,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25.11.2013 № 1063 «Об 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контрактом», правовой позицией, изложенной в постановлении Пленума Высшего Арбитражного Суда Российской Федерации от 06.06.2014 № 35 «О последствиях расторжения договора», с учетом выводов экспертного заключения Турлянского А.А. при проведении судебной экспертизы, принятого судами в качестве допустимого доказательства, пришли к выводу о наличии оснований для удовлетворения иска в части возложения на ответчика обязанности устранить недостатки работ по контракту, и возложения на генподрядчика гражданско-правовой ответственности в виде выплаты неустойки, произведя ее перерасчет. Судебные инстанции указали, что обнаруженные недостатки в результате работ, выполненных обществом, выявлены в период гарантийного срока, согласованного сторонами в государственном контракте. При исследовании обстоятельств дела установлено, что спорные недостатки возникли в результате ненадлежащего выполнения обязательств по контракту со стороны генподрядчика, и не являются эксплуатационными. Суды отметили, что гарантийные обязательства в отношении переданного ответчиком результата работ сохраняют свое действие и после расторжения контракта, поскольку иное соглашением о его расторжении не предусмотрено. Обстоятельства данного спора и представленные доказательства были предметом рассмотрения и оценки судов. Доводы общества, приведенные в кассационной жалобе, аналогичны доводам, ранее заявлявшимся в судах, сводятся к несогласию с выводами судебной экспертизы и отсутствию гарантийных обязательств после расторжения контракта, которые получили надлежащую правовую оценку 4 судов и мотивированно отклонены,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Евроальянс»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