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31.12.2019, оставленным без изменения постановлением Двадцатого арбитражного апелляционного суда от 31.08.2020 и постановлением Арбитражного суда Центрального округа от 15.12.2020, в удовлетворении заявления отказано. В кассационной жалобе, поданной в Верховный Суд Российской Федерации, ООО «Алтухово», ссылаясь на существенное нарушение норм 2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ООО «Ровенские сады» инспекцией принято решение, которым доначислены налог на добавленную стоимость (далее - НДС) в сумме 117 140 352 рублей, единый сельскохозяйственный налог (далее - ЕСХН) в сумме 29 307 489 рублей, налог на доходы физических лиц (далее - НДФЛ) в сумме 2 379 046 рублей, соответствующие суммы пеней и штрафов. Основанием для доначисления налогов послужил вывод налогового органа о необоснованном получении налогоплательщиком налоговой выгоды по хозяйственным операциям с контрагентами - обществами с ограниченной ответственностью «Урожай», «Призма», «Союз», «Диалог», «Фрешсбыт», «Алтухово» по договорам поставки продукции. Решением вышестоящего налогового органа решение инспекции оставлено без изменения. Не согласившись с решением инспекции в части доначислений по взаимоотношениям с указанными контрагентами, общество обратилось в арбитражный суд. При рассмотрении дела судами установлено, что общество, находясь на ЕСХН и не являясь плательщиком НДС, осуществляло реальную хозяйственную деятельность по выращиванию и продаже продукции взаимозависимым, аффилированным, подконтрольным лицам, находящимся на общей системе налогообложения, с целью предъявления ими НДС реальным покупателям. При этом контрагенты налогоплательщика несли минимальную налоговую нагрузку, доходы незначительно превышали расходы, налоговые вычеты по НДС максимально приближены к НДС, исчисленному от реализации товаров, работ, услуг; перечисление денежных средств носило транзитный характер. Учитывая установленные обстоятельства, руководствуясь положениями Налогового кодекса Российской Федерации, разъяснениями, изложенными в 3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судебные инстанции пришли к выводу о наличии у налогового органа правовых оснований для принятия решения с учетом доказанности создания обществом формального документооборота, направленного на получение из бюджета необоснованной налоговой выгоды, в связи с чем признали решение инспекции в оспариваемой части правомерным. Доводы, изложенные в кассационной жалобе, в том числе о реальности хозяйственных операций с подателем жалобы, незаконном начислении штрафных санкций и пеней по результатам выездной налоговой проверки, являлись предметом рассмотрения судов и получили надлежащую правовую оценку с учетом исследования представленных в материалы дела доказательств и установленной совокупности обстоятельств. По существу доводы жалобы выражают несогласие с установленными фактическими обстоятельствами дела, направлены на их переоценку, не опровергают выводы судов,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«Алтухово»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