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30.12.2019, оставленным без изменения постановлением Девятого арбитражного апелляционного суда от 30.06.2020 и постановлением Арбитражного суда Московского округа от 05.11.2020, иск удовлетворен. В кассационной жалобе предприятие просит об отмене судебных актов, ссылаясь на наличие безусловного основания для отмены судебных актов, непривлечение перевозчика к участию в деле в качестве ответчика, отсутствие связи между действиями предприятия и убытками.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утрата груза произошла при его перевозке под охраной предприятия, должной в силу договора от 17.01.2019 № 171/19 осуществляться круглосуточно в период транспортировки до сдачи груза получателю, поэтому правомерно удовлетворили иск в соответствии со статьями 15, 393 Гражданского кодекса Российской Федерации. Неучастие в деле непосредственно охранявшего груз от имени предприятия лица и перевозчика в качестве ответчика не создает обозначенных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«Частное охранное предприятие «Р. И ЧИ ПЛЮС»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