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28.02.2020, оставленным без изменения постановлением Семнадцатого арбитражного 2 апелляционного суда от 21.05.2020, производство по делу в части требований к компании прекращено в связи с отказом общества от иска в указанной части; в удовлетворении требований к агентству отказано. Постановлением Арбитражного суда Уральского округа от 11.11.2020 решение суда первой инстанции и постановление суда апелляционной инстанции отменены, дело направлено на новое рассмотрение в Арбитражный суд Свердловской области. В кассационной жалобе, поданной в Верховный Суд Российской Федерации, агентство,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кассационных жалоб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 исследовали обстоятельства, имеющие существенное значение для правильного разрешения спора, не дали оценки всем представленным в материалы дела доказательствам и доводам истца.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«Свердловское агентство ипотечного жилищного кредитования»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