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Карелия от 04.03.2020, оставленным без изменения постановлением Тринадцатого арбитражного апелляционного суда от 22.07.2020 и постановлением Арбитражного суда Северо-Западного округа от 18.11.2020, в удовлетворении заявленных требований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проведены камеральные налоговые проверки представленных обществом налоговых деклараций по налогу на имущество, по результатам вынесены оспоренные решения, доначислен налог на имущество и соответствующие пени. Основанием для доначисления налога на имущество послужил вывод инспекции о неправомерном применении обществом в отношении объектов основных средств ставки по налогу на имущество, определенной пунктом 3 статьи 380 Налогового кодекса Российской Федерации (далее - Налогового кодекса), поскольку объекты не относятся к линиям энергопередачи, а также к сооружениям, являющимся неотъемлемыми технологическими частями линий энергопередачи по перечню, утвержденному постановлением Правительства Российской Федерации от 30.09.2004 № 504 «О Перечне имущества, относящегося к железнодорожным путям общего пользования, федеральным автомобильным дорогам общего пользования, магистральным трубопроводам, линиям электропередачи, а также сооружений, являющихся неотъемлемой технологической частью указанных объектов», в отношении которых организации освобождаются от обложения налогом на имущество организаций. Не согласившись с решениями инспекции, заявитель обратился в арбитражный суд. Отказывая в удовлетворении заявления, суды первой и апелляционной инстанций, оценив представленные в материалы дела доказательства, руководствуясь положениями статей 11, 14, 372, 373, 374, 380 Налогового кодекса, Федерального закона от 27.07.2010 № 190-ФЗ «О теплоснабжении», Федерального закона от 26.03.2003 № 35-ФЗ «Об электроэнергетике», СП 124.13330.2012 СНиП 41-02-2003 «Тепловые сети», утвержденного приказом Министерства регионального развития Российской Федерации от 30.06.2012 3 № 280, пришли к выводу о том, что оспоренные решения налогового органа в оспариваемой части не нарушают права и законные интересы предприятия, с чем согласился суд округа. Судебные инстанции исходили из необоснованного применения в отношении имущества налогоплательщика пониженной ставки, поскольку принадлежащие предприятию тепловые сети не относятся к магистральным. Доводы предприятия, изложенные в жалобе, являлись предметом рассмотрения судов и им дана надлежащая правовая оценка,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Республики Карелия «КарелКоммунЭнерго»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