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02.06.2020, оставленным без изменения постановлениями Седьмого арбитражного апелляционного суда от 02.09.2020 и Арбитражного суда Западно-Сибирского округа от 07.12.2020, заявленное требование удовлетворено. В кассационной жалобе управление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2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проведенной в отношении министерства плановой проверки предоставления и использования субсидий из федерального бюджета на поддержку государственных программ субъектов Российской Федерации и муниципальных программ формирования современной городской среды управлением установлено невыполнение министерством обязательств по обеспечению достижения значений показателей результативности исполнения мероприятий, в целях софинансирования которых предоставляется субсидия. Предписанием управления на министерство возложена обязанность по перечислению в доход федерального бюджета средств в сумме 12 090 192 рублей 85 копеек. Не соглашаясь с указанным ненормативным правовым актом, министерство обратилось в арбитражный суд с заявлением, в котором просит признать его недействительным. Удовлетворяя заявленное требование, суды, исследовав и оценив представленные в материалы дела доказательства, руководствуясь положениями статей 1, 2, 34, 130, 132 Бюджетного кодекса Российской Федерации,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современной городской среды, утвержденными постановлением Правительства Российской Федерации от 30.12.2017 № 1710, постановлением Правительства Алтайского края от 31.08.2017 № 326 «Об утверждении государственной программы Алтайского края «Формирование современной городской среды», пришли к выводу о том, что оспариваемое предписание не соответствует требованиям закона. Признавая недействительным предписание управления по эпизоду, связанному с невыполнением обязательств по обеспечению достижения показателей результативности исполнения мероприятий, в целях софинансирования которых предоставляется субсидия (доля дворовых территорий, благоустройство которых выполнено при участии граждан, организаций в соответствующих мероприятиях, в общем количестве реализованных в течение планового года проектов благоустройства дворовых территорий), суды исходили из отсутствия оснований для вынесения предписания в данной части. По эпизоду, связанному с несоблюдением доли реализованных комплексных проектов благоустройства общественных территорий, суды отметили, что для оценки достижения рассматриваемого показателя 3 результативности, исходя из его наименования, имеет значение сам факт итогового комплексного благоустройства общественной территории, при этом не исключена возможность завершения мероприятий по комплексному благоустройству территории за счет средств из различных источников (средства субсидии, софинансирование, внебюджетные средства). При исследовании обстоятельств дела установлено, что по завершению работ, необходимых для приведения спорных общественных территорий в благоустроенное состояние, спорные территории стали полностью (комплексно) благоустроенными, соответствующими их функциональному назначению, удобству для использования. Доводы кассационной жалобы не свидетельствуют о неправильном применении судами норм материального и процессуального права, повлиявшем на исход дела, основаны на ином толковании норм права, являлись предметом рассмотрения судов, получили надлежащую правовую оценку с учетом установленных обстоятельств дела и мотивированно отклонены.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Федерального казначейства по Алтайскому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