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«ЮгСтройПроект» срок подачи кассационной жалобы на решение Арбитражного суда Тульской области от 21.02.2020 по делу № А68-12298/2019, постановление Двадцатого арбитражного апелляционного суда от 24.08.2020 и постановление Арбитражного суда Центрального округа от 24.12.2020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