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21.02.2020, оставленным без изменения постановлением Девятого арбитражного апелляционного суда от 05.08.2020 и постановлением Арбитражного суда Московского округа от 11.11.2020,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исковых требований, суды руководствовались статьями 195 , 196 , 199 , 200 , 207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обществом срока исковой давности, о чем было заявлено ответчиком. С учетом установленных фактических обстоятельств доводы кассационной жалобы не свидетельствуют о существенных нарушениях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«Арсенал»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Н.С. Чучунова Суд: Верховный Суд РФ (подробнее) Истцы: АО "Арсенал" (подробнее) Ответчики: АО ЛАБОРАТОРИЯ НОВЫХ ИНФОРМАЦИОННЫХ ТЕХНОЛОГИЙ "ЛАНИТ"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