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«Ревдинский кирпичный завод» обратилось в Арбитражный суд Свердловской области с иском о взыскании с общества с ограниченной ответственностью «Фасадстрой» 710 715 рублей 20 копеек задолженности по договору поставки от 22.05.2017 № 2124 и 74 245 рублей 39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«Петроснабторг». Решением Арбитражного суда Свердловской области от 20.01.2020 иск удовлетворен. Постановлением Семнадцатого арбитражного апелляционного суда от 05.08.2020 решение суда первой инстанции оставлено без изменения. Арбитражный суд Уральского округа постановлением от 10.11.2020 указанные судебные акты оставил без изменения. 2 Общество с ограниченной ответственностью «Фасадстрой»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исходя из буквального толкования условий договора, что стороны предусмотрели несколько вариантов, когда обязанность поставщика по поставке продукции считается исполненной, признав доказанным факт поставки товара, руководствуясь положениями статей 309, 310, 395, 431, 486, 506, 516 Гражданского кодекса Российской Федерации, суды пришли к выводу об обоснованности заявленных требований. Доводы, изложенные в жалобе, об оспаривании факта поставки товара приводились при рассмотрении дела,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«Фасадстрой»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