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13.02.2020, оставленным без изменения постановлением Восемнадцатого арбитражного апелляционного суда от 08.06.2020, в удовлетворении иска отказано. Постановлением Арбитражного суда Уральского округа от 05.11.2020 решение суда первой инстанции и постановление суда апелляционной инстанции отменены, дело направлено на новое рассмотрение в Арбитражный суд Челябинской области. В кассационной жалобе, поданной в Верховный Суд Российской Федерации, общество, ссылаясь на нарушение судом округа норм права, 2 просит отменить его постановление и оставить в силе решение суда первой инстанции и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кассационных жалоб не установлено.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указал на необходимость установить все обстоятельства, имеющие существенное значение для правильного разрешения спора, дать оценку представленным в материалы дела доказательствам и доводам участвующих в деле лиц.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«Группа компаний «МКС»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