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29.01.2020, оставленным без изменения постановлением Десятого арбитражного апелляционного суда от 03.08.2020 и постановлением Арбитражного суда Московского округа от 10.11.2020, с общества в пользу предпринимателя взыскано 687 589 руб. 63 коп. процентов за пользование чужими денежными средствами, 2 408 010 руб. 75 коп. убытков в виде разницы в стоимости 2 квартиры по договору и рыночной стоимостью,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удовлетворения требований истца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участник долевого строительства в одностороннем порядке отказался от договора в связи с нарушением ответчиком (застройщиком) срока передачи объекта и последний допустил просрочку возврата уплаченной участником денежной суммы; факт противоправности действий ответчика, наличия причинной связи между допущенными нарушениями со стороны ответчика и возникшими у участника убытками в заявленном размере подтвержден; право требования денежных средств перешло предпринимателю на основании заключенного с участником договора уступки прав, руководствуясь статьями 15, 309, 310, 333, 393.1, 395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первой и апелляционной инстанций пришли к выводу о наличии оснований для взыскания с общества в пользу предпринимателя процентов (с учетом уменьшения их размера) и убытков в виде разницы между стоимостью объекта по договору и рыночной стоимостью на момент расторжения договора. С указанными выводами судов первой и апелляционной инстанций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3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«А101 Девелопмент»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