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его требований в размере 450 000 рублей. Определением Арбитражного суда Свердловской области от 12.08.2020 отказано в удовлетворении заявления. Постановлением Семнадцатого арбитражного апелляционного суда от 07.10.2020, оставленным без изменения постановлением Арбитражного суда Уральского округа от 11.12.2020, отменено определение суда первой инстанции от 12.08.2020, требования признаны обоснованными и подлежащими включению в третью очередь реестра. В кассационной жалобе, поданной в Верховный Суд Российской Федерации, заявитель просит изменить указанное постановление апелляционного суда, признав требования ФИО3 текущими, или отменить указанные постановления судов апелляционной инстанции и округа, направив спор на новое рассмотрение.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требования подлежащими включению в третью очередь реестра требований кредиторов должника, апелляционный суд, руководствуясь положениями статьи 100 Федерального закона от 26.10.2002 № 127-ФЗ «О несостоятельности (банкротстве)», исходил из того, что исполнение по сделке, послужившей основанием для обращения ФИО1 с настоящим требованием, было произведено последним до возбуждения настоящего дела о банкротстве. Суд округа, руководствуясь положениями статьи 5 Федерального закона от 26.10.2002 № 127-ФЗ «О несостоятельности (банкротстве)», позицией, изложенной в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поддержал обжалуемые заявителем выводы апелляционного суда, указав, что данное требование не относится к текущим.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"БыстроБанк" (подробнее) ПАО "Сбербанк России" (подробнее) Иные лица: АССОЦИАЦИЯ "УРАЛО-СИБИРСКОЕ ОБЪЕДИНЕНИЕ АРБИТРАЖНЫХ УПРАВЛЯЮЩИХ" (подробнее) ООО Представитель должника "ЮРЭКС ГРУПП"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